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044" w:rsidRDefault="00D24044" w:rsidP="00D24044">
      <w:pPr>
        <w:jc w:val="center"/>
        <w:rPr>
          <w:rFonts w:asciiTheme="minorHAnsi" w:eastAsiaTheme="minorHAnsi" w:hAnsiTheme="minorHAnsi" w:cstheme="minorBidi"/>
          <w:lang w:val="en-US"/>
        </w:rPr>
      </w:pPr>
      <w:bookmarkStart w:id="0" w:name="_GoBack"/>
      <w:bookmarkEnd w:id="0"/>
      <w:r w:rsidRPr="00B82C01">
        <w:rPr>
          <w:rFonts w:asciiTheme="minorHAnsi" w:eastAsiaTheme="minorHAnsi" w:hAnsiTheme="minorHAnsi" w:cstheme="minorBidi"/>
          <w:lang w:val="en-US"/>
        </w:rPr>
        <w:t>Attachment 1</w:t>
      </w:r>
    </w:p>
    <w:p w:rsidR="00D24044" w:rsidRPr="00D24044" w:rsidRDefault="00D24044" w:rsidP="00AC758B">
      <w:pPr>
        <w:jc w:val="center"/>
        <w:rPr>
          <w:rFonts w:asciiTheme="minorHAnsi" w:eastAsiaTheme="minorHAnsi" w:hAnsiTheme="minorHAnsi" w:cstheme="minorBidi"/>
          <w:lang w:val="en-US"/>
        </w:rPr>
      </w:pPr>
      <w:r w:rsidRPr="00B82C01">
        <w:rPr>
          <w:rFonts w:asciiTheme="minorHAnsi" w:eastAsiaTheme="minorHAnsi" w:hAnsiTheme="minorHAnsi" w:cstheme="minorBidi"/>
          <w:lang w:val="en-US"/>
        </w:rPr>
        <w:t xml:space="preserve">Global Harmonization System (GHS) for Chemical Labelling </w:t>
      </w:r>
      <w:proofErr w:type="spellStart"/>
      <w:r w:rsidRPr="00B82C01">
        <w:rPr>
          <w:rFonts w:asciiTheme="minorHAnsi" w:eastAsiaTheme="minorHAnsi" w:hAnsiTheme="minorHAnsi" w:cstheme="minorBidi"/>
          <w:lang w:val="en-US"/>
        </w:rPr>
        <w:t>SmartForm</w:t>
      </w:r>
      <w:proofErr w:type="spellEnd"/>
    </w:p>
    <w:p w:rsidR="00D24044" w:rsidRPr="00D24044" w:rsidRDefault="00D24044" w:rsidP="00AC758B">
      <w:pPr>
        <w:jc w:val="center"/>
        <w:rPr>
          <w:rFonts w:asciiTheme="minorHAnsi" w:eastAsiaTheme="minorHAnsi" w:hAnsiTheme="minorHAnsi" w:cstheme="minorBidi"/>
          <w:lang w:val="en-US"/>
        </w:rPr>
      </w:pPr>
      <w:r w:rsidRPr="00D24044">
        <w:rPr>
          <w:rFonts w:asciiTheme="minorHAnsi" w:eastAsiaTheme="minorHAnsi" w:hAnsiTheme="minorHAnsi" w:cstheme="minorBidi"/>
          <w:lang w:val="en-US"/>
        </w:rPr>
        <w:t xml:space="preserve">Industry Input - </w:t>
      </w:r>
      <w:r w:rsidR="00286A52" w:rsidRPr="00286A52">
        <w:rPr>
          <w:rFonts w:asciiTheme="minorHAnsi" w:eastAsiaTheme="minorHAnsi" w:hAnsiTheme="minorHAnsi" w:cstheme="minorBidi"/>
          <w:lang w:val="en-US"/>
        </w:rPr>
        <w:t xml:space="preserve">Industrial Workplace Chemicals </w:t>
      </w:r>
      <w:r w:rsidR="00286A52">
        <w:rPr>
          <w:rFonts w:asciiTheme="minorHAnsi" w:eastAsiaTheme="minorHAnsi" w:hAnsiTheme="minorHAnsi" w:cstheme="minorBidi"/>
          <w:lang w:val="en-US"/>
        </w:rPr>
        <w:t>(</w:t>
      </w:r>
      <w:r w:rsidRPr="00D24044">
        <w:rPr>
          <w:rFonts w:asciiTheme="minorHAnsi" w:eastAsiaTheme="minorHAnsi" w:hAnsiTheme="minorHAnsi" w:cstheme="minorBidi"/>
          <w:lang w:val="en-US"/>
        </w:rPr>
        <w:t>IWCS</w:t>
      </w:r>
      <w:r w:rsidR="00286A52">
        <w:rPr>
          <w:rFonts w:asciiTheme="minorHAnsi" w:eastAsiaTheme="minorHAnsi" w:hAnsiTheme="minorHAnsi" w:cstheme="minorBidi"/>
          <w:lang w:val="en-US"/>
        </w:rPr>
        <w:t>)</w:t>
      </w:r>
    </w:p>
    <w:p w:rsidR="00D24044" w:rsidRDefault="00D24044" w:rsidP="00D24044"/>
    <w:p w:rsidR="00D24044" w:rsidRDefault="00D24044" w:rsidP="00D24044">
      <w:r>
        <w:t>Organisation/Agency: API</w:t>
      </w:r>
    </w:p>
    <w:p w:rsidR="00D24044" w:rsidRDefault="00D24044" w:rsidP="00D24044">
      <w:r>
        <w:t>Name: Derek Swick</w:t>
      </w:r>
    </w:p>
    <w:p w:rsidR="00D24044" w:rsidRDefault="00D24044" w:rsidP="00D24044">
      <w:r>
        <w:t xml:space="preserve">Phone number: </w:t>
      </w:r>
      <w:r w:rsidRPr="006921A9">
        <w:t>+1 202 682 8341</w:t>
      </w:r>
    </w:p>
    <w:p w:rsidR="00D24044" w:rsidRDefault="00D24044" w:rsidP="00D24044">
      <w:r>
        <w:t xml:space="preserve">Email address: </w:t>
      </w:r>
      <w:r w:rsidRPr="006921A9">
        <w:t>swickd@api.org</w:t>
      </w:r>
    </w:p>
    <w:p w:rsidR="00D24044" w:rsidRDefault="00D24044" w:rsidP="00D24044"/>
    <w:p w:rsidR="00D24044" w:rsidRDefault="00D2404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D24044" w:rsidRPr="00603555" w:rsidTr="00EA12CF">
        <w:tc>
          <w:tcPr>
            <w:tcW w:w="9242" w:type="dxa"/>
          </w:tcPr>
          <w:p w:rsidR="00D24044" w:rsidRPr="00603555" w:rsidRDefault="00D24044" w:rsidP="00EA12CF">
            <w:pPr>
              <w:rPr>
                <w:rFonts w:ascii="Arial" w:hAnsi="Arial" w:cs="Arial"/>
                <w:sz w:val="20"/>
                <w:szCs w:val="20"/>
                <w:lang w:val="en-US"/>
              </w:rPr>
            </w:pPr>
            <w:r w:rsidRPr="00603555">
              <w:rPr>
                <w:rFonts w:ascii="Arial" w:hAnsi="Arial" w:cs="Arial"/>
                <w:sz w:val="20"/>
                <w:szCs w:val="20"/>
                <w:lang w:val="en-US"/>
              </w:rPr>
              <w:t xml:space="preserve">Has it been easy to access all necessary information for compliance? </w:t>
            </w:r>
          </w:p>
        </w:tc>
      </w:tr>
      <w:tr w:rsidR="00D24044" w:rsidRPr="00603555" w:rsidTr="00EA12CF">
        <w:tc>
          <w:tcPr>
            <w:tcW w:w="9242" w:type="dxa"/>
          </w:tcPr>
          <w:p w:rsidR="00D24044" w:rsidRPr="00D24044" w:rsidRDefault="00D24044" w:rsidP="00EA12CF">
            <w:pPr>
              <w:rPr>
                <w:rFonts w:ascii="Arial" w:hAnsi="Arial" w:cs="Arial"/>
                <w:b/>
                <w:sz w:val="20"/>
                <w:szCs w:val="20"/>
                <w:u w:val="single"/>
                <w:lang w:val="en-US"/>
              </w:rPr>
            </w:pPr>
            <w:r w:rsidRPr="00D24044">
              <w:rPr>
                <w:rFonts w:ascii="Arial" w:hAnsi="Arial" w:cs="Arial"/>
                <w:b/>
                <w:sz w:val="20"/>
                <w:szCs w:val="20"/>
                <w:u w:val="single"/>
                <w:lang w:val="en-US"/>
              </w:rPr>
              <w:t>U.S. Issues</w:t>
            </w:r>
          </w:p>
          <w:p w:rsidR="00D24044" w:rsidRPr="00D24044" w:rsidRDefault="00D24044" w:rsidP="00EA12CF">
            <w:pPr>
              <w:rPr>
                <w:rFonts w:ascii="Arial" w:hAnsi="Arial" w:cs="Arial"/>
                <w:sz w:val="20"/>
                <w:szCs w:val="20"/>
                <w:lang w:val="en-US"/>
              </w:rPr>
            </w:pPr>
            <w:r w:rsidRPr="00D24044">
              <w:rPr>
                <w:rFonts w:ascii="Arial" w:hAnsi="Arial" w:cs="Arial"/>
                <w:sz w:val="20"/>
                <w:szCs w:val="20"/>
                <w:lang w:val="en-US"/>
              </w:rPr>
              <w:t xml:space="preserve">OSHA published requirements to implement the GHS on March 26, 2012. OSHA has gradually published </w:t>
            </w:r>
            <w:proofErr w:type="spellStart"/>
            <w:r w:rsidRPr="00D24044">
              <w:rPr>
                <w:rFonts w:ascii="Arial" w:hAnsi="Arial" w:cs="Arial"/>
                <w:sz w:val="20"/>
                <w:szCs w:val="20"/>
                <w:lang w:val="en-US"/>
              </w:rPr>
              <w:t>HazCom</w:t>
            </w:r>
            <w:proofErr w:type="spellEnd"/>
            <w:r w:rsidRPr="00D24044">
              <w:rPr>
                <w:rFonts w:ascii="Arial" w:hAnsi="Arial" w:cs="Arial"/>
                <w:sz w:val="20"/>
                <w:szCs w:val="20"/>
                <w:lang w:val="en-US"/>
              </w:rPr>
              <w:t xml:space="preserve"> 2012 implementation tools. OSHA published Hazard Classification Guidance in February 2016. OSHA has not yet finalized the Weight of the Evidence Guidance, published as a draft in February 2016. This guidance and the Compliance Directive were not available in time for companies to use in their </w:t>
            </w:r>
            <w:proofErr w:type="spellStart"/>
            <w:r w:rsidRPr="00D24044">
              <w:rPr>
                <w:rFonts w:ascii="Arial" w:hAnsi="Arial" w:cs="Arial"/>
                <w:sz w:val="20"/>
                <w:szCs w:val="20"/>
                <w:lang w:val="en-US"/>
              </w:rPr>
              <w:t>HazCom</w:t>
            </w:r>
            <w:proofErr w:type="spellEnd"/>
            <w:r w:rsidRPr="00D24044">
              <w:rPr>
                <w:rFonts w:ascii="Arial" w:hAnsi="Arial" w:cs="Arial"/>
                <w:sz w:val="20"/>
                <w:szCs w:val="20"/>
                <w:lang w:val="en-US"/>
              </w:rPr>
              <w:t xml:space="preserve"> 2012 compliance strategies. OSHA has not published all their </w:t>
            </w:r>
            <w:proofErr w:type="spellStart"/>
            <w:r w:rsidRPr="00D24044">
              <w:rPr>
                <w:rFonts w:ascii="Arial" w:hAnsi="Arial" w:cs="Arial"/>
                <w:sz w:val="20"/>
                <w:szCs w:val="20"/>
                <w:lang w:val="en-US"/>
              </w:rPr>
              <w:t>HazCom</w:t>
            </w:r>
            <w:proofErr w:type="spellEnd"/>
            <w:r w:rsidRPr="00D24044">
              <w:rPr>
                <w:rFonts w:ascii="Arial" w:hAnsi="Arial" w:cs="Arial"/>
                <w:sz w:val="20"/>
                <w:szCs w:val="20"/>
                <w:lang w:val="en-US"/>
              </w:rPr>
              <w:t xml:space="preserve"> 2012 letters of interpretation. OSHA has stated their intention to update </w:t>
            </w:r>
            <w:proofErr w:type="spellStart"/>
            <w:r w:rsidRPr="00D24044">
              <w:rPr>
                <w:rFonts w:ascii="Arial" w:hAnsi="Arial" w:cs="Arial"/>
                <w:sz w:val="20"/>
                <w:szCs w:val="20"/>
                <w:lang w:val="en-US"/>
              </w:rPr>
              <w:t>HazCom</w:t>
            </w:r>
            <w:proofErr w:type="spellEnd"/>
            <w:r w:rsidRPr="00D24044">
              <w:rPr>
                <w:rFonts w:ascii="Arial" w:hAnsi="Arial" w:cs="Arial"/>
                <w:sz w:val="20"/>
                <w:szCs w:val="20"/>
                <w:lang w:val="en-US"/>
              </w:rPr>
              <w:t xml:space="preserve"> 2012 to align with GHS Revisions 6 &amp; 7 and a meeting to get stakeholder input was held. But OSHA has not specified a timeframe for the update. </w:t>
            </w:r>
          </w:p>
          <w:p w:rsidR="00D24044" w:rsidRPr="00D24044" w:rsidRDefault="00D24044" w:rsidP="00EA12CF">
            <w:pPr>
              <w:rPr>
                <w:rFonts w:ascii="Arial" w:hAnsi="Arial" w:cs="Arial"/>
                <w:sz w:val="20"/>
                <w:szCs w:val="20"/>
                <w:lang w:val="en-US"/>
              </w:rPr>
            </w:pPr>
          </w:p>
          <w:p w:rsidR="00D24044" w:rsidRPr="00E10C18" w:rsidRDefault="00D24044" w:rsidP="00EA12CF">
            <w:pPr>
              <w:rPr>
                <w:rFonts w:ascii="Arial" w:hAnsi="Arial" w:cs="Arial"/>
                <w:sz w:val="20"/>
                <w:szCs w:val="20"/>
                <w:lang w:val="en-US"/>
              </w:rPr>
            </w:pPr>
            <w:r w:rsidRPr="00D24044">
              <w:rPr>
                <w:rFonts w:ascii="Arial" w:hAnsi="Arial" w:cs="Arial"/>
                <w:sz w:val="20"/>
                <w:szCs w:val="20"/>
                <w:lang w:val="en-US"/>
              </w:rPr>
              <w:t>OSHA has been holding meetings to obtain stakeholder input prior to UNSCEGHS meetings, which will impact future GHS revisions as well as OSHA Hazard Communication Standard (HCS) revisions. The UNSCEGHS and RCC processes are not transparent. Most UNSCEGHS positions and technical documents are developed/agreed in inter-sessional groups. Unless you are a member of these UNSCEGHS inter-sessional groups, this information is not available to stakeholders until it has</w:t>
            </w:r>
            <w:r w:rsidRPr="00E10C18">
              <w:rPr>
                <w:rFonts w:ascii="Arial" w:hAnsi="Arial" w:cs="Arial"/>
                <w:sz w:val="20"/>
                <w:szCs w:val="20"/>
                <w:lang w:val="en-US"/>
              </w:rPr>
              <w:t xml:space="preserve"> been largely agreed upon and posted on the UNSCEGHS website.</w:t>
            </w:r>
          </w:p>
          <w:p w:rsidR="00D24044" w:rsidRPr="00A973F2" w:rsidRDefault="00D24044" w:rsidP="00EA12CF">
            <w:pPr>
              <w:rPr>
                <w:rFonts w:ascii="Arial" w:hAnsi="Arial" w:cs="Arial"/>
                <w:b/>
                <w:color w:val="1F497D"/>
                <w:sz w:val="20"/>
                <w:szCs w:val="20"/>
                <w:lang w:val="en-US"/>
              </w:rPr>
            </w:pPr>
          </w:p>
          <w:p w:rsidR="00D24044" w:rsidRPr="00502263" w:rsidRDefault="00D24044" w:rsidP="00EA12CF">
            <w:pPr>
              <w:rPr>
                <w:rFonts w:ascii="Arial" w:hAnsi="Arial" w:cs="Arial"/>
                <w:b/>
                <w:sz w:val="20"/>
                <w:szCs w:val="20"/>
                <w:u w:val="single"/>
                <w:lang w:val="en-US"/>
              </w:rPr>
            </w:pPr>
            <w:r>
              <w:rPr>
                <w:rFonts w:ascii="Arial" w:hAnsi="Arial" w:cs="Arial"/>
                <w:b/>
                <w:sz w:val="20"/>
                <w:szCs w:val="20"/>
                <w:u w:val="single"/>
                <w:lang w:val="en-US"/>
              </w:rPr>
              <w:t>Global Issues</w:t>
            </w:r>
          </w:p>
          <w:p w:rsidR="00D24044" w:rsidRPr="00E10C18" w:rsidRDefault="00D24044" w:rsidP="00EA12CF">
            <w:pPr>
              <w:rPr>
                <w:rFonts w:ascii="Arial" w:hAnsi="Arial" w:cs="Arial"/>
                <w:sz w:val="20"/>
                <w:szCs w:val="20"/>
                <w:lang w:val="en-US"/>
              </w:rPr>
            </w:pPr>
            <w:r w:rsidRPr="00E10C18">
              <w:rPr>
                <w:rFonts w:ascii="Arial" w:hAnsi="Arial" w:cs="Arial"/>
                <w:sz w:val="20"/>
                <w:szCs w:val="20"/>
                <w:lang w:val="en-US"/>
              </w:rPr>
              <w:t>It is not always possible to keep up to date and find necessary GHS compliance information from some APEC economies. Some countries/economies have restricted access to regulations, information</w:t>
            </w:r>
            <w:r>
              <w:rPr>
                <w:rFonts w:ascii="Arial" w:hAnsi="Arial" w:cs="Arial"/>
                <w:sz w:val="20"/>
                <w:szCs w:val="20"/>
                <w:lang w:val="en-US"/>
              </w:rPr>
              <w:t>,</w:t>
            </w:r>
            <w:r w:rsidRPr="00E10C18">
              <w:rPr>
                <w:rFonts w:ascii="Arial" w:hAnsi="Arial" w:cs="Arial"/>
                <w:sz w:val="20"/>
                <w:szCs w:val="20"/>
                <w:lang w:val="en-US"/>
              </w:rPr>
              <w:t xml:space="preserve"> and/or websit</w:t>
            </w:r>
            <w:r>
              <w:rPr>
                <w:rFonts w:ascii="Arial" w:hAnsi="Arial" w:cs="Arial"/>
                <w:sz w:val="20"/>
                <w:szCs w:val="20"/>
                <w:lang w:val="en-US"/>
              </w:rPr>
              <w:t xml:space="preserve">es to domestic companies. This </w:t>
            </w:r>
            <w:r w:rsidRPr="00E10C18">
              <w:rPr>
                <w:rFonts w:ascii="Arial" w:hAnsi="Arial" w:cs="Arial"/>
                <w:sz w:val="20"/>
                <w:szCs w:val="20"/>
                <w:lang w:val="en-US"/>
              </w:rPr>
              <w:t xml:space="preserve">may present potential trade barriers, particularly with respect to the non-discriminatory and national treatment provisions under the WTO. This also is contrary </w:t>
            </w:r>
            <w:r>
              <w:rPr>
                <w:rFonts w:ascii="Arial" w:hAnsi="Arial" w:cs="Arial"/>
                <w:sz w:val="20"/>
                <w:szCs w:val="20"/>
                <w:lang w:val="en-US"/>
              </w:rPr>
              <w:t xml:space="preserve">to the objectives of the GHS. As an </w:t>
            </w:r>
            <w:r w:rsidRPr="00E10C18">
              <w:rPr>
                <w:rFonts w:ascii="Arial" w:hAnsi="Arial" w:cs="Arial"/>
                <w:sz w:val="20"/>
                <w:szCs w:val="20"/>
                <w:lang w:val="en-US"/>
              </w:rPr>
              <w:t>example</w:t>
            </w:r>
            <w:r>
              <w:rPr>
                <w:rFonts w:ascii="Arial" w:hAnsi="Arial" w:cs="Arial"/>
                <w:sz w:val="20"/>
                <w:szCs w:val="20"/>
                <w:lang w:val="en-US"/>
              </w:rPr>
              <w:t xml:space="preserve"> of restricted access</w:t>
            </w:r>
            <w:r w:rsidRPr="00E10C18">
              <w:rPr>
                <w:rFonts w:ascii="Arial" w:hAnsi="Arial" w:cs="Arial"/>
                <w:sz w:val="20"/>
                <w:szCs w:val="20"/>
                <w:lang w:val="en-US"/>
              </w:rPr>
              <w:t xml:space="preserve">, </w:t>
            </w:r>
            <w:r>
              <w:rPr>
                <w:rFonts w:ascii="Arial" w:hAnsi="Arial" w:cs="Arial"/>
                <w:sz w:val="20"/>
                <w:szCs w:val="20"/>
                <w:lang w:val="en-US"/>
              </w:rPr>
              <w:t xml:space="preserve">South </w:t>
            </w:r>
            <w:r w:rsidRPr="00E10C18">
              <w:rPr>
                <w:rFonts w:ascii="Arial" w:hAnsi="Arial" w:cs="Arial"/>
                <w:sz w:val="20"/>
                <w:szCs w:val="20"/>
                <w:lang w:val="en-US"/>
              </w:rPr>
              <w:t>Korea only allows password access to domestic companies.</w:t>
            </w:r>
          </w:p>
          <w:p w:rsidR="00D24044" w:rsidRPr="00E10C18" w:rsidRDefault="00D24044" w:rsidP="00EA12CF">
            <w:pPr>
              <w:rPr>
                <w:rFonts w:ascii="Arial" w:hAnsi="Arial" w:cs="Arial"/>
                <w:sz w:val="20"/>
                <w:szCs w:val="20"/>
                <w:lang w:val="en-US"/>
              </w:rPr>
            </w:pPr>
          </w:p>
          <w:p w:rsidR="00D24044" w:rsidRPr="00E10C18" w:rsidRDefault="00D24044" w:rsidP="00EA12CF">
            <w:pPr>
              <w:rPr>
                <w:rFonts w:ascii="Arial" w:hAnsi="Arial" w:cs="Arial"/>
                <w:sz w:val="20"/>
                <w:szCs w:val="20"/>
                <w:lang w:val="en-US"/>
              </w:rPr>
            </w:pPr>
            <w:r w:rsidRPr="00E10C18">
              <w:rPr>
                <w:rFonts w:ascii="Arial" w:hAnsi="Arial" w:cs="Arial"/>
                <w:sz w:val="20"/>
                <w:szCs w:val="20"/>
                <w:lang w:val="en-US"/>
              </w:rPr>
              <w:t>Even when the regulations/legislation/standards are available, all of the information that is required for compliance is not always specified. For example, the GHS includes several options for mixture cut-off values and some countries include all options without specifying which is appropriate for compliance.</w:t>
            </w:r>
          </w:p>
          <w:p w:rsidR="00D24044" w:rsidRPr="00E10C18" w:rsidRDefault="00D24044" w:rsidP="00EA12CF">
            <w:pPr>
              <w:rPr>
                <w:rFonts w:ascii="Arial" w:hAnsi="Arial" w:cs="Arial"/>
                <w:sz w:val="20"/>
                <w:szCs w:val="20"/>
                <w:lang w:val="en-US"/>
              </w:rPr>
            </w:pPr>
          </w:p>
          <w:p w:rsidR="00D24044" w:rsidRPr="00E10C18" w:rsidRDefault="00D24044" w:rsidP="00EA12CF">
            <w:pPr>
              <w:rPr>
                <w:rFonts w:ascii="Arial" w:hAnsi="Arial" w:cs="Arial"/>
                <w:sz w:val="20"/>
                <w:szCs w:val="20"/>
                <w:lang w:val="en-US"/>
              </w:rPr>
            </w:pPr>
            <w:r w:rsidRPr="00E10C18">
              <w:rPr>
                <w:rFonts w:ascii="Arial" w:hAnsi="Arial" w:cs="Arial"/>
                <w:sz w:val="20"/>
                <w:szCs w:val="20"/>
                <w:lang w:val="en-US"/>
              </w:rPr>
              <w:t>Sometimes implementation dates are published, but the related implementing regulations are not yet finalized, or the regulations are finalized but the transition period and implementation dates are not clear. Only the EU CLP has a clear schedule for implementing updates to the GHS via their ATP process.</w:t>
            </w:r>
          </w:p>
          <w:p w:rsidR="00D24044" w:rsidRPr="00603555" w:rsidRDefault="00D24044" w:rsidP="00EA12CF">
            <w:pPr>
              <w:rPr>
                <w:rFonts w:ascii="Arial" w:hAnsi="Arial" w:cs="Arial"/>
                <w:b/>
                <w:sz w:val="20"/>
                <w:szCs w:val="20"/>
                <w:lang w:val="en-US"/>
              </w:rPr>
            </w:pPr>
          </w:p>
        </w:tc>
      </w:tr>
      <w:tr w:rsidR="00D24044" w:rsidRPr="00603555" w:rsidTr="00EA12CF">
        <w:tc>
          <w:tcPr>
            <w:tcW w:w="9242" w:type="dxa"/>
          </w:tcPr>
          <w:p w:rsidR="00D24044" w:rsidRPr="00D24044" w:rsidRDefault="00D24044" w:rsidP="00EA12CF">
            <w:pPr>
              <w:rPr>
                <w:rFonts w:ascii="Arial" w:hAnsi="Arial" w:cs="Arial"/>
                <w:sz w:val="20"/>
                <w:szCs w:val="20"/>
                <w:lang w:val="en-US"/>
              </w:rPr>
            </w:pPr>
            <w:r w:rsidRPr="00D24044">
              <w:rPr>
                <w:rFonts w:ascii="Arial" w:hAnsi="Arial" w:cs="Arial"/>
                <w:sz w:val="20"/>
                <w:szCs w:val="20"/>
                <w:lang w:val="en-US"/>
              </w:rPr>
              <w:t>Do you see any specific issues that are limiting the progress of GHS implementation?</w:t>
            </w:r>
          </w:p>
        </w:tc>
      </w:tr>
      <w:tr w:rsidR="00D24044" w:rsidRPr="00603555" w:rsidTr="00EA12CF">
        <w:tc>
          <w:tcPr>
            <w:tcW w:w="9242" w:type="dxa"/>
          </w:tcPr>
          <w:p w:rsidR="00D24044" w:rsidRPr="00D24044" w:rsidRDefault="00D24044" w:rsidP="00EA12CF">
            <w:pPr>
              <w:rPr>
                <w:rFonts w:ascii="Arial" w:hAnsi="Arial" w:cs="Arial"/>
                <w:b/>
                <w:sz w:val="20"/>
                <w:szCs w:val="20"/>
                <w:u w:val="single"/>
              </w:rPr>
            </w:pPr>
            <w:r w:rsidRPr="00D24044">
              <w:rPr>
                <w:rFonts w:ascii="Arial" w:hAnsi="Arial" w:cs="Arial"/>
                <w:b/>
                <w:sz w:val="20"/>
                <w:szCs w:val="20"/>
                <w:u w:val="single"/>
              </w:rPr>
              <w:t>U.S. Issues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To achieve the goal of harmonization and reap the associated benefits, OSHA/governments should align with the GHS as negotiated and seek to implement it in a manner that minimizes differences among countries. The OSHA final GHS rule is generally aligned with the GHS, but there are several issues that are not aligned, e.g., mandatory precautionary statements, combustible dusts, Hazards Not Otherwise Classified (HNOCs), and the most current UN GHS aerosol requirements.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 xml:space="preserve">Collaboration is needed among the U.S. Coast Guard, EPA, CPSC, OSHA, and DOT. DOT has </w:t>
            </w:r>
            <w:r w:rsidRPr="00D24044">
              <w:rPr>
                <w:rFonts w:ascii="Arial" w:hAnsi="Arial" w:cs="Arial"/>
                <w:sz w:val="20"/>
                <w:szCs w:val="20"/>
              </w:rPr>
              <w:lastRenderedPageBreak/>
              <w:t>essentially implemented the necessary changes to align with the GHS, and OSHA has published the GHS final rule. However, EPA and CPSC are not making progress in implementing the GHS. Although CPSC finalized a revised definition of strong sensitizer, CPSC has stated that GHS implementation is on hold due to other priorities.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 xml:space="preserve">The International Maritime Organization (IMO) activities related to SDSs do not promote global harmonization and a consistent SDS format. Currently, the Coast Guard regulations reference the OSHA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SDS and the SOLAS MSDS as defined by </w:t>
            </w:r>
            <w:proofErr w:type="gramStart"/>
            <w:r w:rsidRPr="00D24044">
              <w:rPr>
                <w:rFonts w:ascii="Arial" w:hAnsi="Arial" w:cs="Arial"/>
                <w:sz w:val="20"/>
                <w:szCs w:val="20"/>
              </w:rPr>
              <w:t>MSC.286(</w:t>
            </w:r>
            <w:proofErr w:type="gramEnd"/>
            <w:r w:rsidRPr="00D24044">
              <w:rPr>
                <w:rFonts w:ascii="Arial" w:hAnsi="Arial" w:cs="Arial"/>
                <w:sz w:val="20"/>
                <w:szCs w:val="20"/>
              </w:rPr>
              <w:t xml:space="preserve">86). If the US Coast Guard decides to incorporate SDSs format requirements into their regulations, they should consult with OSHA to ensure that the SDS format and content is harmonized with OSHA and the GHS. </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 xml:space="preserve">The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guidance should have been available in time for companies to use in their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compliance strategies. OSHA needs to publish all their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letters of interpretation as soon as possible. OSHA has stated their intention to update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to align with GHS Revisions 6 &amp; 7 and a meeting to get stakeholder input was held. But OSHA has not specified a timeframe for the update.</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To promote globally harmonized classifications, the UNSCEGHS PCI group should address harmonization of interpretations of the GHS classification provisions (e.g., UVCBs) as well as developing classification examples.</w:t>
            </w:r>
          </w:p>
          <w:p w:rsidR="00D24044" w:rsidRPr="00D24044" w:rsidRDefault="00D24044" w:rsidP="00D24044">
            <w:pPr>
              <w:numPr>
                <w:ilvl w:val="0"/>
                <w:numId w:val="1"/>
              </w:numPr>
              <w:rPr>
                <w:rFonts w:ascii="Arial" w:hAnsi="Arial" w:cs="Arial"/>
                <w:b/>
                <w:sz w:val="20"/>
                <w:szCs w:val="20"/>
                <w:lang w:val="en-US"/>
              </w:rPr>
            </w:pPr>
            <w:r w:rsidRPr="00D24044">
              <w:rPr>
                <w:rFonts w:ascii="Arial" w:hAnsi="Arial" w:cs="Arial"/>
                <w:sz w:val="20"/>
                <w:szCs w:val="20"/>
              </w:rPr>
              <w:t>In order to have broad acceptance of a UN global list of classified chemicals, the UNSCEGHS should ensure that the guiding principles are addressed in the pilot program.</w:t>
            </w:r>
          </w:p>
          <w:p w:rsidR="00D24044" w:rsidRPr="00D24044" w:rsidRDefault="00D24044" w:rsidP="00EA12CF">
            <w:pPr>
              <w:rPr>
                <w:rFonts w:ascii="Arial" w:hAnsi="Arial" w:cs="Arial"/>
                <w:b/>
                <w:sz w:val="20"/>
                <w:szCs w:val="20"/>
                <w:lang w:val="en-US"/>
              </w:rPr>
            </w:pPr>
          </w:p>
          <w:p w:rsidR="00D24044" w:rsidRPr="00D24044" w:rsidRDefault="00D24044" w:rsidP="00EA12CF">
            <w:pPr>
              <w:rPr>
                <w:rFonts w:ascii="Arial" w:hAnsi="Arial" w:cs="Arial"/>
                <w:b/>
                <w:sz w:val="20"/>
                <w:szCs w:val="20"/>
                <w:u w:val="single"/>
                <w:lang w:val="en-US"/>
              </w:rPr>
            </w:pPr>
            <w:r w:rsidRPr="00D24044">
              <w:rPr>
                <w:rFonts w:ascii="Arial" w:hAnsi="Arial" w:cs="Arial"/>
                <w:b/>
                <w:sz w:val="20"/>
                <w:szCs w:val="20"/>
                <w:u w:val="single"/>
                <w:lang w:val="en-US"/>
              </w:rPr>
              <w:t>Global Issues: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 xml:space="preserve">Companies classifying chemicals for hazard building blocks that have not yet been adopted by the economy should not be penalized. This would allow classification for the maximum number of building blocks and classification of their product in the same way across all economies.  </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Economies should accept SDSs and labels based on more than one version of the UN GHS Purple Book for classification. For example, if an economy implements the 3rd edition of GHS, it could also accept the 4th and 5th editions of GHS, provided that the level of protection was the same or stronger with respect to the particular chemical.</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Any list of GHS classifications for chemicals by economies should be non-mandatory and for information. This would enable companies to utilize all the data available to them to classify their products in the same way across all economies as opposed to having to comply with mandatory, and sometimes varied, classifications.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It might be useful to convene a working group to look at the possibility of harmonizing GHS mixture classification cut-off values/thresholds.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To promote global harmonization, it might be useful to consider addressing harmonization of interpretations/application of the GHS.</w:t>
            </w:r>
          </w:p>
          <w:p w:rsidR="00D24044" w:rsidRPr="00D24044" w:rsidRDefault="00D24044" w:rsidP="00EA12CF">
            <w:pPr>
              <w:rPr>
                <w:rFonts w:ascii="Arial" w:hAnsi="Arial" w:cs="Arial"/>
                <w:b/>
                <w:sz w:val="20"/>
                <w:szCs w:val="20"/>
                <w:lang w:val="en-US"/>
              </w:rPr>
            </w:pPr>
          </w:p>
        </w:tc>
      </w:tr>
      <w:tr w:rsidR="00D24044" w:rsidRPr="00603555" w:rsidTr="00EA12CF">
        <w:tc>
          <w:tcPr>
            <w:tcW w:w="9242" w:type="dxa"/>
          </w:tcPr>
          <w:p w:rsidR="00D24044" w:rsidRPr="00253DBE" w:rsidRDefault="00D24044" w:rsidP="00EA12CF">
            <w:pPr>
              <w:rPr>
                <w:rFonts w:ascii="Arial" w:hAnsi="Arial" w:cs="Arial"/>
                <w:sz w:val="20"/>
                <w:szCs w:val="20"/>
                <w:lang w:val="en-US"/>
              </w:rPr>
            </w:pPr>
            <w:r w:rsidRPr="00253DBE">
              <w:rPr>
                <w:rFonts w:ascii="Arial" w:hAnsi="Arial" w:cs="Arial"/>
                <w:sz w:val="20"/>
                <w:szCs w:val="20"/>
                <w:lang w:val="en-US"/>
              </w:rPr>
              <w:lastRenderedPageBreak/>
              <w:t>What are the expected costs for industry in the implementation of GHS?</w:t>
            </w:r>
          </w:p>
        </w:tc>
      </w:tr>
      <w:tr w:rsidR="00D24044" w:rsidRPr="00603555" w:rsidTr="00EA12CF">
        <w:tc>
          <w:tcPr>
            <w:tcW w:w="9242" w:type="dxa"/>
          </w:tcPr>
          <w:p w:rsidR="00D24044" w:rsidRPr="00D24044" w:rsidRDefault="00D24044" w:rsidP="00D24044">
            <w:pPr>
              <w:numPr>
                <w:ilvl w:val="0"/>
                <w:numId w:val="2"/>
              </w:numPr>
              <w:tabs>
                <w:tab w:val="clear" w:pos="360"/>
                <w:tab w:val="num" w:pos="-3240"/>
              </w:tabs>
              <w:autoSpaceDE w:val="0"/>
              <w:autoSpaceDN w:val="0"/>
              <w:adjustRightInd w:val="0"/>
              <w:rPr>
                <w:rFonts w:ascii="Arial" w:hAnsi="Arial" w:cs="Arial"/>
                <w:sz w:val="20"/>
                <w:szCs w:val="20"/>
              </w:rPr>
            </w:pPr>
            <w:r w:rsidRPr="00D24044">
              <w:rPr>
                <w:rFonts w:ascii="Arial" w:hAnsi="Arial" w:cs="Arial"/>
                <w:sz w:val="20"/>
                <w:szCs w:val="20"/>
              </w:rPr>
              <w:t>Significant costs are anticipated for SDS revisions, re-labelling, re-distributing revised SDSs to customers, and employee training.  Information Technology (IT) solutions (i.e., software) are available through major vendors offering SDS authoring systems supporting GHS. Although in many cases the software (i.e., algorithm) work is complete, country or regional differences in regulatory provisions may require upgrades.</w:t>
            </w:r>
          </w:p>
          <w:p w:rsidR="00D24044" w:rsidRPr="00D24044" w:rsidRDefault="00D24044" w:rsidP="00D24044">
            <w:pPr>
              <w:numPr>
                <w:ilvl w:val="0"/>
                <w:numId w:val="2"/>
              </w:numPr>
              <w:tabs>
                <w:tab w:val="clear" w:pos="360"/>
                <w:tab w:val="num" w:pos="-3240"/>
              </w:tabs>
              <w:autoSpaceDE w:val="0"/>
              <w:autoSpaceDN w:val="0"/>
              <w:adjustRightInd w:val="0"/>
              <w:rPr>
                <w:rFonts w:ascii="Arial" w:hAnsi="Arial" w:cs="Arial"/>
                <w:sz w:val="20"/>
                <w:szCs w:val="20"/>
              </w:rPr>
            </w:pPr>
            <w:r w:rsidRPr="00D24044">
              <w:rPr>
                <w:rFonts w:ascii="Arial" w:hAnsi="Arial" w:cs="Arial"/>
                <w:sz w:val="20"/>
                <w:szCs w:val="20"/>
              </w:rPr>
              <w:t>API member companies issue tens of thousands of SDSs that needed revision to meet the OSHA GHS final rule. For example, one API member company currently has approximately 4,500 SDSs for the U.S. market, all of which required revision under the OSHA GHS final rule. For this one company, approximately 10,000 U.S. employees would be affected, e.g., require updated training.</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 xml:space="preserve">When OSHA updates </w:t>
            </w:r>
            <w:proofErr w:type="spellStart"/>
            <w:r w:rsidRPr="00D24044">
              <w:rPr>
                <w:rFonts w:ascii="Arial" w:hAnsi="Arial" w:cs="Arial"/>
                <w:sz w:val="20"/>
                <w:szCs w:val="20"/>
              </w:rPr>
              <w:t>HazCom</w:t>
            </w:r>
            <w:proofErr w:type="spellEnd"/>
            <w:r w:rsidRPr="00D24044">
              <w:rPr>
                <w:rFonts w:ascii="Arial" w:hAnsi="Arial" w:cs="Arial"/>
                <w:sz w:val="20"/>
                <w:szCs w:val="20"/>
              </w:rPr>
              <w:t xml:space="preserve"> 2012 to align with GHS Revisions 6 &amp; 7, the cost for industry to implement the updates will depend on which provisions are updated and the time allowed for the updating.</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Non-harmonized issues like HNOCs and combustible dusts add to the cost of doing business internationally. Non-harmonized SDS formats, e.g., the IMO format, also add to the cost of doing business internationally.</w:t>
            </w:r>
          </w:p>
          <w:p w:rsidR="00D24044" w:rsidRPr="00D24044" w:rsidRDefault="00D24044" w:rsidP="00EA12CF">
            <w:pPr>
              <w:rPr>
                <w:rFonts w:ascii="Arial" w:hAnsi="Arial" w:cs="Arial"/>
                <w:b/>
                <w:sz w:val="20"/>
                <w:szCs w:val="20"/>
                <w:lang w:val="en-US"/>
              </w:rPr>
            </w:pPr>
          </w:p>
          <w:p w:rsidR="00D24044" w:rsidRPr="00D24044" w:rsidRDefault="00D24044" w:rsidP="00EA12CF">
            <w:pPr>
              <w:rPr>
                <w:rFonts w:ascii="Arial" w:hAnsi="Arial" w:cs="Arial"/>
                <w:sz w:val="20"/>
                <w:szCs w:val="20"/>
              </w:rPr>
            </w:pPr>
            <w:r w:rsidRPr="00D24044">
              <w:rPr>
                <w:rFonts w:ascii="Arial" w:hAnsi="Arial" w:cs="Arial"/>
                <w:sz w:val="20"/>
                <w:szCs w:val="20"/>
              </w:rPr>
              <w:lastRenderedPageBreak/>
              <w:t>Costs for industry can be reduced by the following:</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To achieve the goal of harmonization and reap the associated benefits, OSHA/governments should align the HCS with the GHS as negotiated and seek to implement it in a manner that minimizes differences among countries/governments, e.g., SDS formats, combustible dusts, HNOCs, aerosols.</w:t>
            </w:r>
          </w:p>
          <w:p w:rsidR="00D24044" w:rsidRPr="00D24044" w:rsidRDefault="00D24044" w:rsidP="00D24044">
            <w:pPr>
              <w:numPr>
                <w:ilvl w:val="0"/>
                <w:numId w:val="1"/>
              </w:numPr>
              <w:rPr>
                <w:rFonts w:ascii="Arial" w:hAnsi="Arial" w:cs="Arial"/>
                <w:sz w:val="20"/>
                <w:szCs w:val="20"/>
              </w:rPr>
            </w:pPr>
            <w:r w:rsidRPr="00D24044">
              <w:rPr>
                <w:rFonts w:ascii="Arial" w:hAnsi="Arial" w:cs="Arial"/>
                <w:sz w:val="20"/>
                <w:szCs w:val="20"/>
              </w:rPr>
              <w:t>OSHA/governments should be as consistent as possible with European Union (EU) GHS implementation and the GHS as negotiated at the UN, especially for hazard classes/categories for mixture cut-off values/concentration limits and for the effective dates and transition periods.</w:t>
            </w:r>
          </w:p>
          <w:p w:rsidR="00D24044" w:rsidRPr="00D24044" w:rsidRDefault="00D24044" w:rsidP="00D24044">
            <w:pPr>
              <w:numPr>
                <w:ilvl w:val="0"/>
                <w:numId w:val="2"/>
              </w:numPr>
              <w:tabs>
                <w:tab w:val="num" w:pos="-2520"/>
              </w:tabs>
              <w:autoSpaceDE w:val="0"/>
              <w:autoSpaceDN w:val="0"/>
              <w:adjustRightInd w:val="0"/>
              <w:rPr>
                <w:rFonts w:ascii="Arial" w:hAnsi="Arial" w:cs="Arial"/>
                <w:sz w:val="20"/>
                <w:szCs w:val="20"/>
              </w:rPr>
            </w:pPr>
            <w:r w:rsidRPr="00D24044">
              <w:rPr>
                <w:rFonts w:ascii="Arial" w:hAnsi="Arial" w:cs="Arial"/>
                <w:sz w:val="20"/>
                <w:szCs w:val="20"/>
              </w:rPr>
              <w:t>Manufacturers should be allowed to use their own precautionary statements in addition to the precautionary statements in the GHS, which should be non-binding suggestions.</w:t>
            </w:r>
          </w:p>
          <w:p w:rsidR="00D24044" w:rsidRPr="00D24044" w:rsidRDefault="00D24044" w:rsidP="00EA12CF">
            <w:pPr>
              <w:rPr>
                <w:rFonts w:ascii="Arial" w:hAnsi="Arial" w:cs="Arial"/>
                <w:b/>
                <w:sz w:val="20"/>
                <w:szCs w:val="20"/>
                <w:lang w:val="en-US"/>
              </w:rPr>
            </w:pPr>
          </w:p>
          <w:p w:rsidR="00D24044" w:rsidRPr="00D24044" w:rsidRDefault="00D24044" w:rsidP="00EA12CF">
            <w:pPr>
              <w:rPr>
                <w:rFonts w:ascii="Arial" w:hAnsi="Arial" w:cs="Arial"/>
                <w:sz w:val="20"/>
                <w:szCs w:val="20"/>
              </w:rPr>
            </w:pPr>
            <w:r w:rsidRPr="00D24044">
              <w:rPr>
                <w:rFonts w:ascii="Arial" w:hAnsi="Arial" w:cs="Arial"/>
                <w:sz w:val="20"/>
                <w:szCs w:val="20"/>
              </w:rPr>
              <w:t>API suggests providing at least the following assistance materials:</w:t>
            </w:r>
          </w:p>
          <w:p w:rsidR="00D24044" w:rsidRPr="00D24044" w:rsidRDefault="00D24044" w:rsidP="00D24044">
            <w:pPr>
              <w:pStyle w:val="ColorfulList-Accent11"/>
              <w:numPr>
                <w:ilvl w:val="0"/>
                <w:numId w:val="3"/>
              </w:numPr>
              <w:tabs>
                <w:tab w:val="left" w:pos="1260"/>
              </w:tabs>
              <w:contextualSpacing w:val="0"/>
              <w:rPr>
                <w:rFonts w:ascii="Arial" w:hAnsi="Arial" w:cs="Arial"/>
                <w:sz w:val="20"/>
                <w:szCs w:val="20"/>
              </w:rPr>
            </w:pPr>
            <w:r w:rsidRPr="00D24044">
              <w:rPr>
                <w:rFonts w:ascii="Arial" w:hAnsi="Arial" w:cs="Arial"/>
                <w:sz w:val="20"/>
                <w:szCs w:val="20"/>
              </w:rPr>
              <w:t>electronic guided learning tools with modules for awareness training, classification of chemicals, and training on pictograms;</w:t>
            </w:r>
          </w:p>
          <w:p w:rsidR="00D24044" w:rsidRPr="00D24044" w:rsidRDefault="00D24044" w:rsidP="00D24044">
            <w:pPr>
              <w:pStyle w:val="ColorfulList-Accent11"/>
              <w:numPr>
                <w:ilvl w:val="0"/>
                <w:numId w:val="3"/>
              </w:numPr>
              <w:tabs>
                <w:tab w:val="left" w:pos="1260"/>
              </w:tabs>
              <w:contextualSpacing w:val="0"/>
              <w:rPr>
                <w:rFonts w:ascii="Arial" w:hAnsi="Arial" w:cs="Arial"/>
                <w:sz w:val="20"/>
                <w:szCs w:val="20"/>
              </w:rPr>
            </w:pPr>
            <w:r w:rsidRPr="00D24044">
              <w:rPr>
                <w:rFonts w:ascii="Arial" w:hAnsi="Arial" w:cs="Arial"/>
                <w:sz w:val="20"/>
                <w:szCs w:val="20"/>
              </w:rPr>
              <w:t>posters with pictograms and explanations (in multiple languages) for workplaces; and</w:t>
            </w:r>
          </w:p>
          <w:p w:rsidR="00D24044" w:rsidRPr="00D24044" w:rsidRDefault="00D24044" w:rsidP="00D24044">
            <w:pPr>
              <w:pStyle w:val="ColorfulList-Accent11"/>
              <w:numPr>
                <w:ilvl w:val="0"/>
                <w:numId w:val="3"/>
              </w:numPr>
              <w:tabs>
                <w:tab w:val="left" w:pos="1260"/>
              </w:tabs>
              <w:contextualSpacing w:val="0"/>
              <w:rPr>
                <w:rFonts w:ascii="Arial" w:hAnsi="Arial" w:cs="Arial"/>
                <w:sz w:val="20"/>
                <w:szCs w:val="20"/>
              </w:rPr>
            </w:pPr>
            <w:proofErr w:type="gramStart"/>
            <w:r w:rsidRPr="00D24044">
              <w:rPr>
                <w:rFonts w:ascii="Arial" w:hAnsi="Arial" w:cs="Arial"/>
                <w:sz w:val="20"/>
                <w:szCs w:val="20"/>
              </w:rPr>
              <w:t>a</w:t>
            </w:r>
            <w:proofErr w:type="gramEnd"/>
            <w:r w:rsidRPr="00D24044">
              <w:rPr>
                <w:rFonts w:ascii="Arial" w:hAnsi="Arial" w:cs="Arial"/>
                <w:sz w:val="20"/>
                <w:szCs w:val="20"/>
              </w:rPr>
              <w:t xml:space="preserve"> reference table with the differing requirements around the globe.</w:t>
            </w:r>
          </w:p>
          <w:p w:rsidR="00D24044" w:rsidRPr="00D24044" w:rsidRDefault="00D24044" w:rsidP="00EA12CF">
            <w:pPr>
              <w:rPr>
                <w:rFonts w:ascii="Arial" w:hAnsi="Arial" w:cs="Arial"/>
                <w:sz w:val="20"/>
                <w:szCs w:val="20"/>
                <w:lang w:val="en-US"/>
              </w:rPr>
            </w:pPr>
          </w:p>
          <w:p w:rsidR="00D24044" w:rsidRPr="00D24044" w:rsidRDefault="00D24044" w:rsidP="00EA12CF">
            <w:pPr>
              <w:rPr>
                <w:rFonts w:ascii="Arial" w:hAnsi="Arial" w:cs="Arial"/>
                <w:sz w:val="20"/>
                <w:szCs w:val="20"/>
                <w:lang w:val="en-US"/>
              </w:rPr>
            </w:pPr>
            <w:r w:rsidRPr="00D24044">
              <w:rPr>
                <w:rFonts w:ascii="Arial" w:hAnsi="Arial" w:cs="Arial"/>
                <w:sz w:val="20"/>
                <w:szCs w:val="20"/>
              </w:rPr>
              <w:t>Detailed technical guidance should be provided on cut-off interpretations and classification criteria for substances and mixtures. Easy to understand guidance should be issued on calculations of acute toxicity estimates, including example calculations.</w:t>
            </w:r>
          </w:p>
          <w:p w:rsidR="00D24044" w:rsidRPr="00D24044" w:rsidRDefault="00D24044" w:rsidP="00EA12CF">
            <w:pPr>
              <w:rPr>
                <w:rFonts w:ascii="Arial" w:hAnsi="Arial" w:cs="Arial"/>
                <w:b/>
                <w:sz w:val="20"/>
                <w:szCs w:val="20"/>
                <w:lang w:val="en-US"/>
              </w:rPr>
            </w:pPr>
          </w:p>
        </w:tc>
      </w:tr>
      <w:tr w:rsidR="00D24044" w:rsidRPr="00D24044" w:rsidTr="00EA12CF">
        <w:tc>
          <w:tcPr>
            <w:tcW w:w="9242" w:type="dxa"/>
          </w:tcPr>
          <w:p w:rsidR="00D24044" w:rsidRPr="00D24044" w:rsidRDefault="00D24044" w:rsidP="00EA12CF">
            <w:pPr>
              <w:rPr>
                <w:rFonts w:ascii="Arial" w:hAnsi="Arial" w:cs="Arial"/>
                <w:sz w:val="20"/>
                <w:szCs w:val="20"/>
                <w:lang w:val="en-US"/>
              </w:rPr>
            </w:pPr>
            <w:r w:rsidRPr="00D24044">
              <w:rPr>
                <w:rFonts w:ascii="Arial" w:hAnsi="Arial" w:cs="Arial"/>
                <w:sz w:val="20"/>
                <w:szCs w:val="20"/>
                <w:lang w:val="en-US"/>
              </w:rPr>
              <w:lastRenderedPageBreak/>
              <w:t>If your economy has implemented GHS, is there any difference in expected cost prior to implementation and actual cost post-implementation of GHS?</w:t>
            </w:r>
          </w:p>
        </w:tc>
      </w:tr>
      <w:tr w:rsidR="00D24044" w:rsidRPr="00603555" w:rsidTr="00EA12CF">
        <w:tc>
          <w:tcPr>
            <w:tcW w:w="9242" w:type="dxa"/>
          </w:tcPr>
          <w:p w:rsidR="00D24044" w:rsidRPr="0023394A" w:rsidRDefault="00D24044" w:rsidP="00EA12CF">
            <w:pPr>
              <w:rPr>
                <w:rFonts w:ascii="Arial" w:hAnsi="Arial" w:cs="Arial"/>
                <w:sz w:val="20"/>
                <w:szCs w:val="20"/>
              </w:rPr>
            </w:pPr>
            <w:r w:rsidRPr="0023394A">
              <w:rPr>
                <w:rFonts w:ascii="Arial" w:hAnsi="Arial" w:cs="Arial"/>
                <w:sz w:val="20"/>
                <w:szCs w:val="20"/>
              </w:rPr>
              <w:t>Below are several areas where costs were generally not anticipated.</w:t>
            </w:r>
          </w:p>
          <w:p w:rsidR="00D24044" w:rsidRPr="0023394A" w:rsidRDefault="00D24044" w:rsidP="00D24044">
            <w:pPr>
              <w:pStyle w:val="ListParagraph"/>
              <w:numPr>
                <w:ilvl w:val="0"/>
                <w:numId w:val="5"/>
              </w:numPr>
              <w:rPr>
                <w:rFonts w:ascii="Arial" w:hAnsi="Arial" w:cs="Arial"/>
                <w:sz w:val="20"/>
                <w:szCs w:val="20"/>
                <w:lang w:val="en-AU"/>
              </w:rPr>
            </w:pPr>
            <w:r w:rsidRPr="0023394A">
              <w:rPr>
                <w:rFonts w:ascii="Arial" w:hAnsi="Arial" w:cs="Arial"/>
                <w:sz w:val="20"/>
                <w:szCs w:val="20"/>
                <w:lang w:val="en-AU"/>
              </w:rPr>
              <w:t xml:space="preserve">Due to various GHS interpretations/applications, there have been challenges in </w:t>
            </w:r>
            <w:proofErr w:type="spellStart"/>
            <w:r w:rsidRPr="0023394A">
              <w:rPr>
                <w:rFonts w:ascii="Arial" w:hAnsi="Arial" w:cs="Arial"/>
                <w:sz w:val="20"/>
                <w:szCs w:val="20"/>
                <w:lang w:val="en-AU"/>
              </w:rPr>
              <w:t>labeling</w:t>
            </w:r>
            <w:proofErr w:type="spellEnd"/>
            <w:r w:rsidRPr="0023394A">
              <w:rPr>
                <w:rFonts w:ascii="Arial" w:hAnsi="Arial" w:cs="Arial"/>
                <w:sz w:val="20"/>
                <w:szCs w:val="20"/>
                <w:lang w:val="en-AU"/>
              </w:rPr>
              <w:t xml:space="preserve">/packaging that were not anticipated. </w:t>
            </w:r>
          </w:p>
          <w:p w:rsidR="00D24044" w:rsidRPr="0023394A" w:rsidRDefault="00D24044" w:rsidP="00D24044">
            <w:pPr>
              <w:pStyle w:val="ListParagraph"/>
              <w:numPr>
                <w:ilvl w:val="0"/>
                <w:numId w:val="5"/>
              </w:numPr>
              <w:rPr>
                <w:rFonts w:ascii="Arial" w:hAnsi="Arial" w:cs="Arial"/>
                <w:sz w:val="20"/>
                <w:szCs w:val="20"/>
                <w:lang w:val="en-AU"/>
              </w:rPr>
            </w:pPr>
            <w:r w:rsidRPr="0023394A">
              <w:rPr>
                <w:rFonts w:ascii="Arial" w:hAnsi="Arial" w:cs="Arial"/>
                <w:sz w:val="20"/>
                <w:szCs w:val="20"/>
                <w:lang w:val="en-AU"/>
              </w:rPr>
              <w:t>Because there is not total harmonization/consistency in GHS implementation, more SDSs/labels with specific country requirements are required than were anticipated</w:t>
            </w:r>
          </w:p>
          <w:p w:rsidR="00D24044" w:rsidRPr="0023394A" w:rsidRDefault="00D24044" w:rsidP="00D24044">
            <w:pPr>
              <w:pStyle w:val="ListParagraph"/>
              <w:numPr>
                <w:ilvl w:val="0"/>
                <w:numId w:val="5"/>
              </w:numPr>
              <w:rPr>
                <w:rFonts w:ascii="Arial" w:hAnsi="Arial" w:cs="Arial"/>
                <w:sz w:val="20"/>
                <w:szCs w:val="20"/>
                <w:lang w:val="en-AU"/>
              </w:rPr>
            </w:pPr>
            <w:r w:rsidRPr="0023394A">
              <w:rPr>
                <w:rFonts w:ascii="Arial" w:hAnsi="Arial" w:cs="Arial"/>
                <w:sz w:val="20"/>
                <w:szCs w:val="20"/>
                <w:lang w:val="en-AU"/>
              </w:rPr>
              <w:t>The UN GHS is updated every 2 years. This updating frequency is considerably more than most countries updated their requirements in the past. How various countries would update their GHS requirements was generally not factored into planning for the GHS.</w:t>
            </w:r>
          </w:p>
          <w:p w:rsidR="00D24044" w:rsidRPr="00253DBE" w:rsidRDefault="00D24044" w:rsidP="00EA12CF">
            <w:pPr>
              <w:rPr>
                <w:rFonts w:ascii="Arial" w:hAnsi="Arial" w:cs="Arial"/>
                <w:sz w:val="20"/>
                <w:szCs w:val="20"/>
                <w:lang w:val="en-US"/>
              </w:rPr>
            </w:pPr>
          </w:p>
        </w:tc>
      </w:tr>
      <w:tr w:rsidR="00D24044" w:rsidRPr="00603555" w:rsidTr="00EA12CF">
        <w:tc>
          <w:tcPr>
            <w:tcW w:w="9242" w:type="dxa"/>
          </w:tcPr>
          <w:p w:rsidR="00D24044" w:rsidRPr="00253DBE" w:rsidRDefault="00D24044" w:rsidP="00EA12CF">
            <w:pPr>
              <w:rPr>
                <w:rFonts w:ascii="Arial" w:hAnsi="Arial" w:cs="Arial"/>
                <w:sz w:val="20"/>
                <w:szCs w:val="20"/>
                <w:lang w:val="en-US"/>
              </w:rPr>
            </w:pPr>
            <w:r w:rsidRPr="00253DBE">
              <w:rPr>
                <w:rFonts w:ascii="Arial" w:hAnsi="Arial" w:cs="Arial"/>
                <w:sz w:val="20"/>
                <w:szCs w:val="20"/>
                <w:lang w:val="en-US"/>
              </w:rPr>
              <w:t>What are the expected benefits for industry through the implementation of GHS?</w:t>
            </w:r>
          </w:p>
        </w:tc>
      </w:tr>
      <w:tr w:rsidR="00D24044" w:rsidRPr="00603555" w:rsidTr="00EA12CF">
        <w:tc>
          <w:tcPr>
            <w:tcW w:w="9242" w:type="dxa"/>
          </w:tcPr>
          <w:p w:rsidR="00D24044" w:rsidRPr="00D24044" w:rsidRDefault="00D24044" w:rsidP="00EA12CF">
            <w:pPr>
              <w:autoSpaceDE w:val="0"/>
              <w:autoSpaceDN w:val="0"/>
              <w:adjustRightInd w:val="0"/>
              <w:rPr>
                <w:rFonts w:ascii="Arial" w:hAnsi="Arial" w:cs="Arial"/>
                <w:sz w:val="20"/>
                <w:szCs w:val="20"/>
              </w:rPr>
            </w:pPr>
            <w:r w:rsidRPr="00D24044">
              <w:rPr>
                <w:rFonts w:ascii="Arial" w:hAnsi="Arial" w:cs="Arial"/>
                <w:sz w:val="20"/>
                <w:szCs w:val="20"/>
                <w:lang w:val="en-US"/>
              </w:rPr>
              <w:t>Expected benefits for industry through the implementation of the GHS include:</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 xml:space="preserve">Internationally harmonized hazard classification and communication will lead to increased worker protection, especially as the new hazard pictograms become recognized.  </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Standardization will improve training and understanding of SDSs.</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 xml:space="preserve">Consistent information on SDSs will improve downstream hazard assessment activities. </w:t>
            </w:r>
          </w:p>
          <w:p w:rsidR="00D24044" w:rsidRPr="00D24044" w:rsidRDefault="00D24044" w:rsidP="00EA12CF">
            <w:pPr>
              <w:rPr>
                <w:rFonts w:ascii="Arial" w:hAnsi="Arial" w:cs="Arial"/>
                <w:sz w:val="20"/>
                <w:szCs w:val="20"/>
                <w:lang w:val="en-US"/>
              </w:rPr>
            </w:pPr>
          </w:p>
          <w:p w:rsidR="00D24044" w:rsidRPr="00D24044" w:rsidRDefault="00D24044" w:rsidP="00EA12CF">
            <w:pPr>
              <w:rPr>
                <w:rFonts w:ascii="Arial" w:hAnsi="Arial" w:cs="Arial"/>
                <w:sz w:val="20"/>
                <w:szCs w:val="20"/>
              </w:rPr>
            </w:pPr>
            <w:r w:rsidRPr="00D24044">
              <w:rPr>
                <w:rFonts w:ascii="Arial" w:hAnsi="Arial" w:cs="Arial"/>
                <w:sz w:val="20"/>
                <w:szCs w:val="20"/>
              </w:rPr>
              <w:t xml:space="preserve">The costs for industry can be reduced by the following: </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 xml:space="preserve">GHS must be implemented comprehensively and consistently across industries on a global basis.  </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Governments should work closely with each other to ensure alignment to the UN-endorsed version of the GHS and to minimize country-specific deviations, e.g. combustible dusts and SDS formats.</w:t>
            </w:r>
          </w:p>
          <w:p w:rsidR="00D24044" w:rsidRPr="00D24044" w:rsidRDefault="00D24044" w:rsidP="00D24044">
            <w:pPr>
              <w:numPr>
                <w:ilvl w:val="0"/>
                <w:numId w:val="2"/>
              </w:numPr>
              <w:tabs>
                <w:tab w:val="num" w:pos="-2520"/>
              </w:tabs>
              <w:autoSpaceDE w:val="0"/>
              <w:autoSpaceDN w:val="0"/>
              <w:adjustRightInd w:val="0"/>
              <w:rPr>
                <w:rFonts w:ascii="Arial" w:hAnsi="Arial" w:cs="Arial"/>
                <w:sz w:val="20"/>
                <w:szCs w:val="20"/>
              </w:rPr>
            </w:pPr>
            <w:r w:rsidRPr="00D24044">
              <w:rPr>
                <w:rFonts w:ascii="Arial" w:hAnsi="Arial" w:cs="Arial"/>
                <w:sz w:val="20"/>
                <w:szCs w:val="20"/>
              </w:rPr>
              <w:t>OSHA/governments need to ensure and set forth a process for U.S. stakeholder input at the earliest possible stage into future GHS technical decisions through negotiations at the UN Sub-Committee of Experts on the GHS (UNSCEGHS).</w:t>
            </w:r>
          </w:p>
          <w:p w:rsidR="00D24044" w:rsidRPr="00D24044" w:rsidRDefault="00D24044" w:rsidP="00D24044">
            <w:pPr>
              <w:numPr>
                <w:ilvl w:val="0"/>
                <w:numId w:val="2"/>
              </w:numPr>
              <w:tabs>
                <w:tab w:val="num" w:pos="-2520"/>
              </w:tabs>
              <w:autoSpaceDE w:val="0"/>
              <w:autoSpaceDN w:val="0"/>
              <w:adjustRightInd w:val="0"/>
              <w:rPr>
                <w:rFonts w:ascii="Arial" w:hAnsi="Arial" w:cs="Arial"/>
                <w:sz w:val="20"/>
                <w:szCs w:val="20"/>
              </w:rPr>
            </w:pPr>
            <w:r w:rsidRPr="00D24044">
              <w:rPr>
                <w:rFonts w:ascii="Arial" w:hAnsi="Arial" w:cs="Arial"/>
                <w:sz w:val="20"/>
                <w:szCs w:val="20"/>
              </w:rPr>
              <w:t>OSHA/governments should support sector-specific guidance, including providing web links to relevant documents.</w:t>
            </w:r>
          </w:p>
          <w:p w:rsidR="00D24044" w:rsidRPr="00D24044" w:rsidRDefault="00D24044" w:rsidP="00D24044">
            <w:pPr>
              <w:numPr>
                <w:ilvl w:val="0"/>
                <w:numId w:val="2"/>
              </w:numPr>
              <w:autoSpaceDE w:val="0"/>
              <w:autoSpaceDN w:val="0"/>
              <w:adjustRightInd w:val="0"/>
              <w:rPr>
                <w:rFonts w:ascii="Arial" w:hAnsi="Arial" w:cs="Arial"/>
                <w:sz w:val="20"/>
                <w:szCs w:val="20"/>
              </w:rPr>
            </w:pPr>
            <w:r w:rsidRPr="00D24044">
              <w:rPr>
                <w:rFonts w:ascii="Arial" w:hAnsi="Arial" w:cs="Arial"/>
                <w:sz w:val="20"/>
                <w:szCs w:val="20"/>
              </w:rPr>
              <w:t>Manufacturers should be allowed to use their own precautionary statements in addition to the precautionary statements in the GHS, which should be non-binding suggestions.</w:t>
            </w:r>
          </w:p>
          <w:p w:rsidR="00D24044" w:rsidRPr="00D24044" w:rsidRDefault="00D24044" w:rsidP="00EA12CF">
            <w:pPr>
              <w:rPr>
                <w:rFonts w:ascii="Arial" w:hAnsi="Arial" w:cs="Arial"/>
                <w:sz w:val="20"/>
                <w:szCs w:val="20"/>
                <w:lang w:val="en-US"/>
              </w:rPr>
            </w:pPr>
          </w:p>
          <w:p w:rsidR="00D24044" w:rsidRPr="00D24044" w:rsidRDefault="00D24044" w:rsidP="00EA12CF">
            <w:pPr>
              <w:autoSpaceDE w:val="0"/>
              <w:autoSpaceDN w:val="0"/>
              <w:adjustRightInd w:val="0"/>
              <w:rPr>
                <w:rFonts w:ascii="Arial" w:hAnsi="Arial" w:cs="Arial"/>
                <w:sz w:val="20"/>
                <w:szCs w:val="20"/>
                <w:lang w:val="en-US"/>
              </w:rPr>
            </w:pPr>
            <w:r w:rsidRPr="00D24044">
              <w:rPr>
                <w:rFonts w:ascii="Arial" w:hAnsi="Arial" w:cs="Arial"/>
                <w:sz w:val="20"/>
                <w:szCs w:val="20"/>
                <w:lang w:val="en-US"/>
              </w:rPr>
              <w:t>Important current impediments to harmonization include:</w:t>
            </w:r>
          </w:p>
          <w:p w:rsidR="00D24044" w:rsidRPr="00D24044" w:rsidRDefault="00D24044" w:rsidP="00D24044">
            <w:pPr>
              <w:numPr>
                <w:ilvl w:val="0"/>
                <w:numId w:val="4"/>
              </w:numPr>
              <w:autoSpaceDE w:val="0"/>
              <w:autoSpaceDN w:val="0"/>
              <w:adjustRightInd w:val="0"/>
              <w:rPr>
                <w:rFonts w:ascii="Arial" w:hAnsi="Arial" w:cs="Arial"/>
                <w:sz w:val="20"/>
                <w:szCs w:val="20"/>
                <w:lang w:val="en-US"/>
              </w:rPr>
            </w:pPr>
            <w:r w:rsidRPr="00D24044">
              <w:rPr>
                <w:rFonts w:ascii="Arial" w:hAnsi="Arial" w:cs="Arial"/>
                <w:sz w:val="20"/>
                <w:szCs w:val="20"/>
                <w:lang w:val="en-US"/>
              </w:rPr>
              <w:t xml:space="preserve">The differences in GHS mixture classification cutoff values/thresholds between countries; (It might be useful to convene a working group to look at the possibility of providing harmonized </w:t>
            </w:r>
            <w:r w:rsidRPr="00D24044">
              <w:rPr>
                <w:rFonts w:ascii="Arial" w:hAnsi="Arial" w:cs="Arial"/>
                <w:sz w:val="20"/>
                <w:szCs w:val="20"/>
                <w:lang w:val="en-US"/>
              </w:rPr>
              <w:lastRenderedPageBreak/>
              <w:t>GHS mixture classification cutoff values/thresholds.)</w:t>
            </w:r>
          </w:p>
          <w:p w:rsidR="00D24044" w:rsidRPr="00D24044" w:rsidRDefault="00D24044" w:rsidP="00D24044">
            <w:pPr>
              <w:numPr>
                <w:ilvl w:val="0"/>
                <w:numId w:val="4"/>
              </w:numPr>
              <w:autoSpaceDE w:val="0"/>
              <w:autoSpaceDN w:val="0"/>
              <w:adjustRightInd w:val="0"/>
              <w:rPr>
                <w:rFonts w:ascii="Arial" w:hAnsi="Arial" w:cs="Arial"/>
                <w:sz w:val="20"/>
                <w:szCs w:val="20"/>
                <w:lang w:val="en-US"/>
              </w:rPr>
            </w:pPr>
            <w:r w:rsidRPr="00D24044">
              <w:rPr>
                <w:rFonts w:ascii="Arial" w:hAnsi="Arial" w:cs="Arial"/>
                <w:sz w:val="20"/>
                <w:szCs w:val="20"/>
                <w:lang w:val="en-US"/>
              </w:rPr>
              <w:t>Different interpretations of how to apply the GHS classification criteria to UVCBs;</w:t>
            </w:r>
          </w:p>
          <w:p w:rsidR="00D24044" w:rsidRPr="00D24044" w:rsidRDefault="00D24044" w:rsidP="00D24044">
            <w:pPr>
              <w:numPr>
                <w:ilvl w:val="0"/>
                <w:numId w:val="4"/>
              </w:numPr>
              <w:autoSpaceDE w:val="0"/>
              <w:autoSpaceDN w:val="0"/>
              <w:adjustRightInd w:val="0"/>
              <w:rPr>
                <w:rFonts w:ascii="Arial" w:hAnsi="Arial" w:cs="Arial"/>
                <w:sz w:val="20"/>
                <w:szCs w:val="20"/>
                <w:lang w:val="en-US"/>
              </w:rPr>
            </w:pPr>
            <w:r w:rsidRPr="00D24044">
              <w:rPr>
                <w:rFonts w:ascii="Arial" w:hAnsi="Arial" w:cs="Arial"/>
                <w:sz w:val="20"/>
                <w:szCs w:val="20"/>
                <w:lang w:val="en-US"/>
              </w:rPr>
              <w:t xml:space="preserve">The OSHA </w:t>
            </w:r>
            <w:proofErr w:type="spellStart"/>
            <w:r w:rsidRPr="00D24044">
              <w:rPr>
                <w:rFonts w:ascii="Arial" w:hAnsi="Arial" w:cs="Arial"/>
                <w:sz w:val="20"/>
                <w:szCs w:val="20"/>
                <w:lang w:val="en-US"/>
              </w:rPr>
              <w:t>HazCom</w:t>
            </w:r>
            <w:proofErr w:type="spellEnd"/>
            <w:r w:rsidRPr="00D24044">
              <w:rPr>
                <w:rFonts w:ascii="Arial" w:hAnsi="Arial" w:cs="Arial"/>
                <w:sz w:val="20"/>
                <w:szCs w:val="20"/>
                <w:lang w:val="en-US"/>
              </w:rPr>
              <w:t xml:space="preserve"> 2012 approach to combustible dusts; and</w:t>
            </w:r>
          </w:p>
          <w:p w:rsidR="00D24044" w:rsidRPr="00D24044" w:rsidRDefault="00D24044" w:rsidP="00D24044">
            <w:pPr>
              <w:numPr>
                <w:ilvl w:val="0"/>
                <w:numId w:val="4"/>
              </w:numPr>
              <w:autoSpaceDE w:val="0"/>
              <w:autoSpaceDN w:val="0"/>
              <w:adjustRightInd w:val="0"/>
              <w:rPr>
                <w:rFonts w:ascii="Arial" w:hAnsi="Arial" w:cs="Arial"/>
                <w:sz w:val="20"/>
                <w:szCs w:val="20"/>
                <w:lang w:val="en-US"/>
              </w:rPr>
            </w:pPr>
            <w:r w:rsidRPr="00D24044">
              <w:rPr>
                <w:rFonts w:ascii="Arial" w:hAnsi="Arial" w:cs="Arial"/>
                <w:sz w:val="20"/>
                <w:szCs w:val="20"/>
                <w:lang w:val="en-US"/>
              </w:rPr>
              <w:t>The IMO SDS format.</w:t>
            </w:r>
          </w:p>
          <w:p w:rsidR="00D24044" w:rsidRDefault="00D24044" w:rsidP="00EA12CF">
            <w:pPr>
              <w:rPr>
                <w:rFonts w:ascii="Arial" w:hAnsi="Arial" w:cs="Arial"/>
                <w:b/>
                <w:sz w:val="20"/>
                <w:szCs w:val="20"/>
                <w:lang w:val="en-US"/>
              </w:rPr>
            </w:pPr>
          </w:p>
        </w:tc>
      </w:tr>
      <w:tr w:rsidR="00D24044" w:rsidRPr="00D24044" w:rsidTr="00EA12CF">
        <w:tc>
          <w:tcPr>
            <w:tcW w:w="9242" w:type="dxa"/>
          </w:tcPr>
          <w:p w:rsidR="00D24044" w:rsidRPr="00D24044" w:rsidRDefault="00D24044" w:rsidP="00EA12CF">
            <w:pPr>
              <w:autoSpaceDE w:val="0"/>
              <w:autoSpaceDN w:val="0"/>
              <w:adjustRightInd w:val="0"/>
              <w:rPr>
                <w:rFonts w:ascii="Arial" w:hAnsi="Arial" w:cs="Arial"/>
                <w:sz w:val="20"/>
                <w:szCs w:val="20"/>
                <w:highlight w:val="yellow"/>
                <w:lang w:val="en-US"/>
              </w:rPr>
            </w:pPr>
            <w:r w:rsidRPr="00D24044">
              <w:rPr>
                <w:rFonts w:ascii="Arial" w:hAnsi="Arial" w:cs="Arial"/>
                <w:sz w:val="20"/>
                <w:szCs w:val="20"/>
                <w:lang w:val="en-US"/>
              </w:rPr>
              <w:lastRenderedPageBreak/>
              <w:t>If your economy has implemented GHS, is there a difference in expected benefits prior to implementation and actual benefits post-implementation of GHS?</w:t>
            </w:r>
          </w:p>
        </w:tc>
      </w:tr>
      <w:tr w:rsidR="00D24044" w:rsidRPr="00603555" w:rsidTr="00EA12CF">
        <w:tc>
          <w:tcPr>
            <w:tcW w:w="9242" w:type="dxa"/>
          </w:tcPr>
          <w:p w:rsidR="00D24044" w:rsidRPr="0023394A" w:rsidRDefault="00D24044" w:rsidP="00D24044">
            <w:pPr>
              <w:numPr>
                <w:ilvl w:val="0"/>
                <w:numId w:val="4"/>
              </w:numPr>
              <w:autoSpaceDE w:val="0"/>
              <w:autoSpaceDN w:val="0"/>
              <w:adjustRightInd w:val="0"/>
              <w:rPr>
                <w:rFonts w:ascii="Arial" w:hAnsi="Arial" w:cs="Arial"/>
                <w:sz w:val="20"/>
                <w:szCs w:val="20"/>
                <w:lang w:val="en-US"/>
              </w:rPr>
            </w:pPr>
            <w:r w:rsidRPr="0023394A">
              <w:rPr>
                <w:rFonts w:ascii="Arial" w:hAnsi="Arial" w:cs="Arial"/>
                <w:sz w:val="20"/>
                <w:szCs w:val="20"/>
                <w:lang w:val="en-US"/>
              </w:rPr>
              <w:t xml:space="preserve">Variances in GHS implementation by countries, frequency of updating and country specific interpretations/applications generally were not anticipated. These may have somewhat reduced the actual benefits of GHS implementation. </w:t>
            </w:r>
          </w:p>
          <w:p w:rsidR="00D24044" w:rsidRPr="0023394A" w:rsidRDefault="00D24044" w:rsidP="00D24044">
            <w:pPr>
              <w:numPr>
                <w:ilvl w:val="0"/>
                <w:numId w:val="4"/>
              </w:numPr>
              <w:autoSpaceDE w:val="0"/>
              <w:autoSpaceDN w:val="0"/>
              <w:adjustRightInd w:val="0"/>
              <w:rPr>
                <w:rFonts w:ascii="Arial" w:hAnsi="Arial" w:cs="Arial"/>
                <w:sz w:val="20"/>
                <w:szCs w:val="20"/>
                <w:lang w:val="en-US"/>
              </w:rPr>
            </w:pPr>
            <w:r w:rsidRPr="0023394A">
              <w:rPr>
                <w:rFonts w:ascii="Arial" w:hAnsi="Arial" w:cs="Arial"/>
                <w:sz w:val="20"/>
                <w:szCs w:val="20"/>
                <w:lang w:val="en-US"/>
              </w:rPr>
              <w:t>The GHS has focused more attention globally on hazard communication and its enforcement. More countries now have implemented hazard communication requirements.</w:t>
            </w:r>
          </w:p>
          <w:p w:rsidR="00D24044" w:rsidRPr="00631E75" w:rsidRDefault="00D24044" w:rsidP="00EA12CF">
            <w:pPr>
              <w:autoSpaceDE w:val="0"/>
              <w:autoSpaceDN w:val="0"/>
              <w:adjustRightInd w:val="0"/>
              <w:rPr>
                <w:rFonts w:ascii="Arial" w:hAnsi="Arial" w:cs="Arial"/>
                <w:sz w:val="20"/>
                <w:szCs w:val="20"/>
                <w:highlight w:val="yellow"/>
                <w:lang w:val="en-US"/>
              </w:rPr>
            </w:pPr>
          </w:p>
        </w:tc>
      </w:tr>
    </w:tbl>
    <w:p w:rsidR="00D24044" w:rsidRDefault="00D24044"/>
    <w:p w:rsidR="00D24044" w:rsidRDefault="00D24044"/>
    <w:p w:rsidR="00D24044" w:rsidRDefault="00D24044"/>
    <w:p w:rsidR="00D24044" w:rsidRDefault="00D24044"/>
    <w:p w:rsidR="00D24044" w:rsidRDefault="00D24044"/>
    <w:p w:rsidR="00D24044" w:rsidRDefault="00D24044"/>
    <w:p w:rsidR="00D24044" w:rsidRDefault="00D24044"/>
    <w:p w:rsidR="00D24044" w:rsidRDefault="00D24044"/>
    <w:sectPr w:rsidR="00D2404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552" w:rsidRDefault="00475552" w:rsidP="00093D17">
      <w:r>
        <w:separator/>
      </w:r>
    </w:p>
  </w:endnote>
  <w:endnote w:type="continuationSeparator" w:id="0">
    <w:p w:rsidR="00475552" w:rsidRDefault="00475552" w:rsidP="0009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88056"/>
      <w:docPartObj>
        <w:docPartGallery w:val="Page Numbers (Bottom of Page)"/>
        <w:docPartUnique/>
      </w:docPartObj>
    </w:sdtPr>
    <w:sdtEndPr>
      <w:rPr>
        <w:noProof/>
      </w:rPr>
    </w:sdtEndPr>
    <w:sdtContent>
      <w:p w:rsidR="00093D17" w:rsidRDefault="00093D17">
        <w:pPr>
          <w:pStyle w:val="Footer"/>
          <w:jc w:val="center"/>
        </w:pPr>
        <w:r>
          <w:fldChar w:fldCharType="begin"/>
        </w:r>
        <w:r>
          <w:instrText xml:space="preserve"> PAGE   \* MERGEFORMAT </w:instrText>
        </w:r>
        <w:r>
          <w:fldChar w:fldCharType="separate"/>
        </w:r>
        <w:r w:rsidR="00CE15D5">
          <w:rPr>
            <w:noProof/>
          </w:rPr>
          <w:t>4</w:t>
        </w:r>
        <w:r>
          <w:rPr>
            <w:noProof/>
          </w:rPr>
          <w:fldChar w:fldCharType="end"/>
        </w:r>
      </w:p>
    </w:sdtContent>
  </w:sdt>
  <w:p w:rsidR="00093D17" w:rsidRDefault="00093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552" w:rsidRDefault="00475552" w:rsidP="00093D17">
      <w:r>
        <w:separator/>
      </w:r>
    </w:p>
  </w:footnote>
  <w:footnote w:type="continuationSeparator" w:id="0">
    <w:p w:rsidR="00475552" w:rsidRDefault="00475552" w:rsidP="00093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D4F3A"/>
    <w:multiLevelType w:val="hybridMultilevel"/>
    <w:tmpl w:val="6840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9366C"/>
    <w:multiLevelType w:val="hybridMultilevel"/>
    <w:tmpl w:val="0DE0CD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EEC3793"/>
    <w:multiLevelType w:val="hybridMultilevel"/>
    <w:tmpl w:val="049057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3C848FF"/>
    <w:multiLevelType w:val="hybridMultilevel"/>
    <w:tmpl w:val="D85A95DE"/>
    <w:lvl w:ilvl="0" w:tplc="53463BB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941974"/>
    <w:multiLevelType w:val="hybridMultilevel"/>
    <w:tmpl w:val="481A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044"/>
    <w:rsid w:val="00093D17"/>
    <w:rsid w:val="00174118"/>
    <w:rsid w:val="00286A52"/>
    <w:rsid w:val="00385A1E"/>
    <w:rsid w:val="00475552"/>
    <w:rsid w:val="004B7F0A"/>
    <w:rsid w:val="0056466C"/>
    <w:rsid w:val="00731EEA"/>
    <w:rsid w:val="00A1047B"/>
    <w:rsid w:val="00AC758B"/>
    <w:rsid w:val="00B82C01"/>
    <w:rsid w:val="00CE15D5"/>
    <w:rsid w:val="00D24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1C857E-C453-427F-BB70-61EA504B9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044"/>
    <w:rPr>
      <w:rFonts w:ascii="Calibri" w:eastAsia="Calibri" w:hAnsi="Calibri"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qFormat/>
    <w:rsid w:val="00D24044"/>
    <w:pPr>
      <w:ind w:left="720"/>
      <w:contextualSpacing/>
    </w:pPr>
  </w:style>
  <w:style w:type="paragraph" w:styleId="ListParagraph">
    <w:name w:val="List Paragraph"/>
    <w:basedOn w:val="Normal"/>
    <w:uiPriority w:val="34"/>
    <w:qFormat/>
    <w:rsid w:val="00D24044"/>
    <w:pPr>
      <w:ind w:left="720"/>
      <w:contextualSpacing/>
    </w:pPr>
    <w:rPr>
      <w:lang w:val="en-US"/>
    </w:rPr>
  </w:style>
  <w:style w:type="paragraph" w:styleId="Header">
    <w:name w:val="header"/>
    <w:basedOn w:val="Normal"/>
    <w:link w:val="HeaderChar"/>
    <w:uiPriority w:val="99"/>
    <w:unhideWhenUsed/>
    <w:rsid w:val="00093D17"/>
    <w:pPr>
      <w:tabs>
        <w:tab w:val="center" w:pos="4680"/>
        <w:tab w:val="right" w:pos="9360"/>
      </w:tabs>
    </w:pPr>
  </w:style>
  <w:style w:type="character" w:customStyle="1" w:styleId="HeaderChar">
    <w:name w:val="Header Char"/>
    <w:basedOn w:val="DefaultParagraphFont"/>
    <w:link w:val="Header"/>
    <w:uiPriority w:val="99"/>
    <w:rsid w:val="00093D17"/>
    <w:rPr>
      <w:rFonts w:ascii="Calibri" w:eastAsia="Calibri" w:hAnsi="Calibri" w:cs="Times New Roman"/>
      <w:lang w:val="en-AU"/>
    </w:rPr>
  </w:style>
  <w:style w:type="paragraph" w:styleId="Footer">
    <w:name w:val="footer"/>
    <w:basedOn w:val="Normal"/>
    <w:link w:val="FooterChar"/>
    <w:uiPriority w:val="99"/>
    <w:unhideWhenUsed/>
    <w:rsid w:val="00093D17"/>
    <w:pPr>
      <w:tabs>
        <w:tab w:val="center" w:pos="4680"/>
        <w:tab w:val="right" w:pos="9360"/>
      </w:tabs>
    </w:pPr>
  </w:style>
  <w:style w:type="character" w:customStyle="1" w:styleId="FooterChar">
    <w:name w:val="Footer Char"/>
    <w:basedOn w:val="DefaultParagraphFont"/>
    <w:link w:val="Footer"/>
    <w:uiPriority w:val="99"/>
    <w:rsid w:val="00093D17"/>
    <w:rPr>
      <w:rFonts w:ascii="Calibri" w:eastAsia="Calibri" w:hAnsi="Calibri" w:cs="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16191">
      <w:bodyDiv w:val="1"/>
      <w:marLeft w:val="0"/>
      <w:marRight w:val="0"/>
      <w:marTop w:val="0"/>
      <w:marBottom w:val="0"/>
      <w:divBdr>
        <w:top w:val="none" w:sz="0" w:space="0" w:color="auto"/>
        <w:left w:val="none" w:sz="0" w:space="0" w:color="auto"/>
        <w:bottom w:val="none" w:sz="0" w:space="0" w:color="auto"/>
        <w:right w:val="none" w:sz="0" w:space="0" w:color="auto"/>
      </w:divBdr>
      <w:divsChild>
        <w:div w:id="236862738">
          <w:marLeft w:val="0"/>
          <w:marRight w:val="0"/>
          <w:marTop w:val="0"/>
          <w:marBottom w:val="0"/>
          <w:divBdr>
            <w:top w:val="none" w:sz="0" w:space="0" w:color="auto"/>
            <w:left w:val="none" w:sz="0" w:space="0" w:color="auto"/>
            <w:bottom w:val="none" w:sz="0" w:space="0" w:color="auto"/>
            <w:right w:val="none" w:sz="0" w:space="0" w:color="auto"/>
          </w:divBdr>
          <w:divsChild>
            <w:div w:id="647327435">
              <w:marLeft w:val="0"/>
              <w:marRight w:val="0"/>
              <w:marTop w:val="0"/>
              <w:marBottom w:val="0"/>
              <w:divBdr>
                <w:top w:val="none" w:sz="0" w:space="0" w:color="auto"/>
                <w:left w:val="none" w:sz="0" w:space="0" w:color="auto"/>
                <w:bottom w:val="none" w:sz="0" w:space="0" w:color="auto"/>
                <w:right w:val="none" w:sz="0" w:space="0" w:color="auto"/>
              </w:divBdr>
              <w:divsChild>
                <w:div w:id="457846478">
                  <w:marLeft w:val="0"/>
                  <w:marRight w:val="0"/>
                  <w:marTop w:val="0"/>
                  <w:marBottom w:val="0"/>
                  <w:divBdr>
                    <w:top w:val="none" w:sz="0" w:space="0" w:color="auto"/>
                    <w:left w:val="none" w:sz="0" w:space="0" w:color="auto"/>
                    <w:bottom w:val="none" w:sz="0" w:space="0" w:color="auto"/>
                    <w:right w:val="none" w:sz="0" w:space="0" w:color="auto"/>
                  </w:divBdr>
                  <w:divsChild>
                    <w:div w:id="1399207320">
                      <w:marLeft w:val="0"/>
                      <w:marRight w:val="0"/>
                      <w:marTop w:val="0"/>
                      <w:marBottom w:val="0"/>
                      <w:divBdr>
                        <w:top w:val="none" w:sz="0" w:space="0" w:color="auto"/>
                        <w:left w:val="none" w:sz="0" w:space="0" w:color="auto"/>
                        <w:bottom w:val="none" w:sz="0" w:space="0" w:color="auto"/>
                        <w:right w:val="none" w:sz="0" w:space="0" w:color="auto"/>
                      </w:divBdr>
                      <w:divsChild>
                        <w:div w:id="498932159">
                          <w:marLeft w:val="0"/>
                          <w:marRight w:val="0"/>
                          <w:marTop w:val="0"/>
                          <w:marBottom w:val="0"/>
                          <w:divBdr>
                            <w:top w:val="none" w:sz="0" w:space="0" w:color="auto"/>
                            <w:left w:val="none" w:sz="0" w:space="0" w:color="auto"/>
                            <w:bottom w:val="none" w:sz="0" w:space="0" w:color="auto"/>
                            <w:right w:val="none" w:sz="0" w:space="0" w:color="auto"/>
                          </w:divBdr>
                          <w:divsChild>
                            <w:div w:id="1620528698">
                              <w:marLeft w:val="0"/>
                              <w:marRight w:val="0"/>
                              <w:marTop w:val="0"/>
                              <w:marBottom w:val="0"/>
                              <w:divBdr>
                                <w:top w:val="none" w:sz="0" w:space="0" w:color="auto"/>
                                <w:left w:val="none" w:sz="0" w:space="0" w:color="auto"/>
                                <w:bottom w:val="none" w:sz="0" w:space="0" w:color="auto"/>
                                <w:right w:val="none" w:sz="0" w:space="0" w:color="auto"/>
                              </w:divBdr>
                              <w:divsChild>
                                <w:div w:id="305281774">
                                  <w:marLeft w:val="0"/>
                                  <w:marRight w:val="0"/>
                                  <w:marTop w:val="0"/>
                                  <w:marBottom w:val="0"/>
                                  <w:divBdr>
                                    <w:top w:val="none" w:sz="0" w:space="0" w:color="auto"/>
                                    <w:left w:val="none" w:sz="0" w:space="0" w:color="auto"/>
                                    <w:bottom w:val="none" w:sz="0" w:space="0" w:color="auto"/>
                                    <w:right w:val="none" w:sz="0" w:space="0" w:color="auto"/>
                                  </w:divBdr>
                                  <w:divsChild>
                                    <w:div w:id="2137941206">
                                      <w:marLeft w:val="0"/>
                                      <w:marRight w:val="0"/>
                                      <w:marTop w:val="0"/>
                                      <w:marBottom w:val="0"/>
                                      <w:divBdr>
                                        <w:top w:val="none" w:sz="0" w:space="0" w:color="auto"/>
                                        <w:left w:val="none" w:sz="0" w:space="0" w:color="auto"/>
                                        <w:bottom w:val="none" w:sz="0" w:space="0" w:color="auto"/>
                                        <w:right w:val="none" w:sz="0" w:space="0" w:color="auto"/>
                                      </w:divBdr>
                                      <w:divsChild>
                                        <w:div w:id="1399548485">
                                          <w:marLeft w:val="0"/>
                                          <w:marRight w:val="0"/>
                                          <w:marTop w:val="0"/>
                                          <w:marBottom w:val="0"/>
                                          <w:divBdr>
                                            <w:top w:val="none" w:sz="0" w:space="0" w:color="auto"/>
                                            <w:left w:val="none" w:sz="0" w:space="0" w:color="auto"/>
                                            <w:bottom w:val="none" w:sz="0" w:space="0" w:color="auto"/>
                                            <w:right w:val="none" w:sz="0" w:space="0" w:color="auto"/>
                                          </w:divBdr>
                                          <w:divsChild>
                                            <w:div w:id="199901828">
                                              <w:marLeft w:val="0"/>
                                              <w:marRight w:val="0"/>
                                              <w:marTop w:val="0"/>
                                              <w:marBottom w:val="0"/>
                                              <w:divBdr>
                                                <w:top w:val="none" w:sz="0" w:space="0" w:color="auto"/>
                                                <w:left w:val="none" w:sz="0" w:space="0" w:color="auto"/>
                                                <w:bottom w:val="none" w:sz="0" w:space="0" w:color="auto"/>
                                                <w:right w:val="none" w:sz="0" w:space="0" w:color="auto"/>
                                              </w:divBdr>
                                              <w:divsChild>
                                                <w:div w:id="338629587">
                                                  <w:marLeft w:val="0"/>
                                                  <w:marRight w:val="0"/>
                                                  <w:marTop w:val="0"/>
                                                  <w:marBottom w:val="0"/>
                                                  <w:divBdr>
                                                    <w:top w:val="none" w:sz="0" w:space="0" w:color="auto"/>
                                                    <w:left w:val="none" w:sz="0" w:space="0" w:color="auto"/>
                                                    <w:bottom w:val="none" w:sz="0" w:space="0" w:color="auto"/>
                                                    <w:right w:val="none" w:sz="0" w:space="0" w:color="auto"/>
                                                  </w:divBdr>
                                                  <w:divsChild>
                                                    <w:div w:id="160708235">
                                                      <w:marLeft w:val="0"/>
                                                      <w:marRight w:val="0"/>
                                                      <w:marTop w:val="0"/>
                                                      <w:marBottom w:val="0"/>
                                                      <w:divBdr>
                                                        <w:top w:val="none" w:sz="0" w:space="0" w:color="auto"/>
                                                        <w:left w:val="none" w:sz="0" w:space="0" w:color="auto"/>
                                                        <w:bottom w:val="none" w:sz="0" w:space="0" w:color="auto"/>
                                                        <w:right w:val="none" w:sz="0" w:space="0" w:color="auto"/>
                                                      </w:divBdr>
                                                      <w:divsChild>
                                                        <w:div w:id="68027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9698">
                                                  <w:marLeft w:val="0"/>
                                                  <w:marRight w:val="0"/>
                                                  <w:marTop w:val="0"/>
                                                  <w:marBottom w:val="0"/>
                                                  <w:divBdr>
                                                    <w:top w:val="none" w:sz="0" w:space="0" w:color="auto"/>
                                                    <w:left w:val="none" w:sz="0" w:space="0" w:color="auto"/>
                                                    <w:bottom w:val="none" w:sz="0" w:space="0" w:color="auto"/>
                                                    <w:right w:val="none" w:sz="0" w:space="0" w:color="auto"/>
                                                  </w:divBdr>
                                                  <w:divsChild>
                                                    <w:div w:id="481580355">
                                                      <w:marLeft w:val="0"/>
                                                      <w:marRight w:val="0"/>
                                                      <w:marTop w:val="0"/>
                                                      <w:marBottom w:val="0"/>
                                                      <w:divBdr>
                                                        <w:top w:val="none" w:sz="0" w:space="0" w:color="auto"/>
                                                        <w:left w:val="none" w:sz="0" w:space="0" w:color="auto"/>
                                                        <w:bottom w:val="none" w:sz="0" w:space="0" w:color="auto"/>
                                                        <w:right w:val="none" w:sz="0" w:space="0" w:color="auto"/>
                                                      </w:divBdr>
                                                    </w:div>
                                                  </w:divsChild>
                                                </w:div>
                                                <w:div w:id="343242880">
                                                  <w:marLeft w:val="0"/>
                                                  <w:marRight w:val="0"/>
                                                  <w:marTop w:val="0"/>
                                                  <w:marBottom w:val="0"/>
                                                  <w:divBdr>
                                                    <w:top w:val="none" w:sz="0" w:space="0" w:color="auto"/>
                                                    <w:left w:val="none" w:sz="0" w:space="0" w:color="auto"/>
                                                    <w:bottom w:val="none" w:sz="0" w:space="0" w:color="auto"/>
                                                    <w:right w:val="none" w:sz="0" w:space="0" w:color="auto"/>
                                                  </w:divBdr>
                                                  <w:divsChild>
                                                    <w:div w:id="1606110846">
                                                      <w:marLeft w:val="0"/>
                                                      <w:marRight w:val="0"/>
                                                      <w:marTop w:val="0"/>
                                                      <w:marBottom w:val="0"/>
                                                      <w:divBdr>
                                                        <w:top w:val="none" w:sz="0" w:space="0" w:color="auto"/>
                                                        <w:left w:val="none" w:sz="0" w:space="0" w:color="auto"/>
                                                        <w:bottom w:val="none" w:sz="0" w:space="0" w:color="auto"/>
                                                        <w:right w:val="none" w:sz="0" w:space="0" w:color="auto"/>
                                                      </w:divBdr>
                                                    </w:div>
                                                    <w:div w:id="1402603454">
                                                      <w:marLeft w:val="0"/>
                                                      <w:marRight w:val="0"/>
                                                      <w:marTop w:val="0"/>
                                                      <w:marBottom w:val="0"/>
                                                      <w:divBdr>
                                                        <w:top w:val="none" w:sz="0" w:space="0" w:color="auto"/>
                                                        <w:left w:val="none" w:sz="0" w:space="0" w:color="auto"/>
                                                        <w:bottom w:val="none" w:sz="0" w:space="0" w:color="auto"/>
                                                        <w:right w:val="none" w:sz="0" w:space="0" w:color="auto"/>
                                                      </w:divBdr>
                                                    </w:div>
                                                    <w:div w:id="216745616">
                                                      <w:marLeft w:val="0"/>
                                                      <w:marRight w:val="0"/>
                                                      <w:marTop w:val="0"/>
                                                      <w:marBottom w:val="0"/>
                                                      <w:divBdr>
                                                        <w:top w:val="none" w:sz="0" w:space="0" w:color="auto"/>
                                                        <w:left w:val="none" w:sz="0" w:space="0" w:color="auto"/>
                                                        <w:bottom w:val="none" w:sz="0" w:space="0" w:color="auto"/>
                                                        <w:right w:val="none" w:sz="0" w:space="0" w:color="auto"/>
                                                      </w:divBdr>
                                                    </w:div>
                                                    <w:div w:id="703676407">
                                                      <w:marLeft w:val="0"/>
                                                      <w:marRight w:val="0"/>
                                                      <w:marTop w:val="0"/>
                                                      <w:marBottom w:val="0"/>
                                                      <w:divBdr>
                                                        <w:top w:val="none" w:sz="0" w:space="0" w:color="auto"/>
                                                        <w:left w:val="none" w:sz="0" w:space="0" w:color="auto"/>
                                                        <w:bottom w:val="none" w:sz="0" w:space="0" w:color="auto"/>
                                                        <w:right w:val="none" w:sz="0" w:space="0" w:color="auto"/>
                                                      </w:divBdr>
                                                    </w:div>
                                                  </w:divsChild>
                                                </w:div>
                                                <w:div w:id="114300940">
                                                  <w:marLeft w:val="0"/>
                                                  <w:marRight w:val="0"/>
                                                  <w:marTop w:val="0"/>
                                                  <w:marBottom w:val="0"/>
                                                  <w:divBdr>
                                                    <w:top w:val="none" w:sz="0" w:space="0" w:color="auto"/>
                                                    <w:left w:val="none" w:sz="0" w:space="0" w:color="auto"/>
                                                    <w:bottom w:val="none" w:sz="0" w:space="0" w:color="auto"/>
                                                    <w:right w:val="none" w:sz="0" w:space="0" w:color="auto"/>
                                                  </w:divBdr>
                                                  <w:divsChild>
                                                    <w:div w:id="590897326">
                                                      <w:marLeft w:val="0"/>
                                                      <w:marRight w:val="0"/>
                                                      <w:marTop w:val="0"/>
                                                      <w:marBottom w:val="0"/>
                                                      <w:divBdr>
                                                        <w:top w:val="none" w:sz="0" w:space="0" w:color="auto"/>
                                                        <w:left w:val="none" w:sz="0" w:space="0" w:color="auto"/>
                                                        <w:bottom w:val="none" w:sz="0" w:space="0" w:color="auto"/>
                                                        <w:right w:val="none" w:sz="0" w:space="0" w:color="auto"/>
                                                      </w:divBdr>
                                                      <w:divsChild>
                                                        <w:div w:id="21139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1626</Words>
  <Characters>10328</Characters>
  <Application>Microsoft Office Word</Application>
  <DocSecurity>0</DocSecurity>
  <Lines>224</Lines>
  <Paragraphs>46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dc:creator>
  <cp:lastModifiedBy>Catherine Oh</cp:lastModifiedBy>
  <cp:revision>2</cp:revision>
  <dcterms:created xsi:type="dcterms:W3CDTF">2017-01-26T23:36:00Z</dcterms:created>
  <dcterms:modified xsi:type="dcterms:W3CDTF">2017-01-26T23:36:00Z</dcterms:modified>
</cp:coreProperties>
</file>